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F38A" w14:textId="2023ADB5" w:rsidR="00D90FFD" w:rsidRPr="003B7012" w:rsidRDefault="00601A8D" w:rsidP="00601A8D">
      <w:pPr>
        <w:jc w:val="center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  <w:highlight w:val="yellow"/>
        </w:rPr>
        <w:t>[Letterhead]</w:t>
      </w:r>
    </w:p>
    <w:p w14:paraId="0924F364" w14:textId="77777777" w:rsidR="00601A8D" w:rsidRPr="003B7012" w:rsidRDefault="00601A8D" w:rsidP="00601A8D">
      <w:pPr>
        <w:rPr>
          <w:rFonts w:ascii="Arial" w:hAnsi="Arial" w:cs="Arial"/>
          <w:szCs w:val="24"/>
        </w:rPr>
      </w:pPr>
    </w:p>
    <w:p w14:paraId="30C2B00B" w14:textId="77777777" w:rsidR="00601A8D" w:rsidRPr="003B7012" w:rsidRDefault="00601A8D" w:rsidP="00601A8D">
      <w:pPr>
        <w:tabs>
          <w:tab w:val="left" w:pos="3600"/>
        </w:tabs>
        <w:ind w:firstLine="3960"/>
        <w:jc w:val="both"/>
        <w:rPr>
          <w:rFonts w:ascii="Arial" w:hAnsi="Arial" w:cs="Arial"/>
          <w:szCs w:val="24"/>
        </w:rPr>
      </w:pPr>
    </w:p>
    <w:p w14:paraId="37E86F50" w14:textId="467505DF" w:rsidR="00601A8D" w:rsidRPr="003B7012" w:rsidRDefault="00601A8D" w:rsidP="00601A8D">
      <w:pPr>
        <w:tabs>
          <w:tab w:val="left" w:pos="360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  <w:highlight w:val="yellow"/>
        </w:rPr>
        <w:t>[DATE]</w:t>
      </w:r>
    </w:p>
    <w:p w14:paraId="23626983" w14:textId="77777777" w:rsidR="00601A8D" w:rsidRPr="003B7012" w:rsidRDefault="00601A8D" w:rsidP="00601A8D">
      <w:pPr>
        <w:tabs>
          <w:tab w:val="left" w:pos="3600"/>
        </w:tabs>
        <w:jc w:val="both"/>
        <w:rPr>
          <w:rFonts w:ascii="Arial" w:hAnsi="Arial" w:cs="Arial"/>
          <w:szCs w:val="24"/>
        </w:rPr>
      </w:pPr>
    </w:p>
    <w:p w14:paraId="117692A5" w14:textId="77777777" w:rsidR="00601A8D" w:rsidRPr="003B7012" w:rsidRDefault="00601A8D" w:rsidP="00601A8D">
      <w:pPr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>The Honorable Tina McKinnor</w:t>
      </w:r>
    </w:p>
    <w:p w14:paraId="0CE4856F" w14:textId="77777777" w:rsidR="00601A8D" w:rsidRPr="003B7012" w:rsidRDefault="00601A8D" w:rsidP="00601A8D">
      <w:pPr>
        <w:jc w:val="both"/>
        <w:rPr>
          <w:rFonts w:ascii="Arial" w:hAnsi="Arial" w:cs="Arial"/>
          <w:color w:val="FF0000"/>
          <w:szCs w:val="24"/>
        </w:rPr>
      </w:pPr>
      <w:r w:rsidRPr="003B7012">
        <w:rPr>
          <w:rFonts w:ascii="Arial" w:hAnsi="Arial" w:cs="Arial"/>
          <w:szCs w:val="24"/>
        </w:rPr>
        <w:t>Member, California State Assembly</w:t>
      </w:r>
    </w:p>
    <w:p w14:paraId="35DF9D5C" w14:textId="77777777" w:rsidR="00601A8D" w:rsidRPr="003B7012" w:rsidRDefault="00601A8D" w:rsidP="00601A8D">
      <w:pPr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>1021 O Street, Suite 5520</w:t>
      </w:r>
    </w:p>
    <w:p w14:paraId="5EA4A870" w14:textId="77777777" w:rsidR="00601A8D" w:rsidRPr="003B7012" w:rsidRDefault="00601A8D" w:rsidP="00601A8D">
      <w:pPr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>Sacramento, CA 95814</w:t>
      </w:r>
    </w:p>
    <w:p w14:paraId="6DDEBE9B" w14:textId="77777777" w:rsidR="00601A8D" w:rsidRPr="003B7012" w:rsidRDefault="00601A8D" w:rsidP="00601A8D">
      <w:pPr>
        <w:tabs>
          <w:tab w:val="left" w:pos="3600"/>
        </w:tabs>
        <w:jc w:val="both"/>
        <w:rPr>
          <w:rFonts w:ascii="Arial" w:hAnsi="Arial" w:cs="Arial"/>
          <w:szCs w:val="24"/>
        </w:rPr>
      </w:pPr>
    </w:p>
    <w:p w14:paraId="15432C0F" w14:textId="1D927D5D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bCs/>
          <w:szCs w:val="24"/>
        </w:rPr>
      </w:pPr>
      <w:r w:rsidRPr="003B7012">
        <w:rPr>
          <w:rFonts w:ascii="Arial" w:hAnsi="Arial" w:cs="Arial"/>
          <w:bCs/>
          <w:szCs w:val="24"/>
        </w:rPr>
        <w:t>RE:</w:t>
      </w:r>
      <w:r w:rsidRPr="003B7012">
        <w:rPr>
          <w:rFonts w:ascii="Arial" w:hAnsi="Arial" w:cs="Arial"/>
          <w:bCs/>
          <w:szCs w:val="24"/>
        </w:rPr>
        <w:tab/>
        <w:t xml:space="preserve">Assembly Bill </w:t>
      </w:r>
      <w:r w:rsidR="00D53F19" w:rsidRPr="003B7012">
        <w:rPr>
          <w:rFonts w:ascii="Arial" w:hAnsi="Arial" w:cs="Arial"/>
          <w:bCs/>
          <w:szCs w:val="24"/>
        </w:rPr>
        <w:t>47</w:t>
      </w:r>
      <w:r w:rsidR="0003278A" w:rsidRPr="003B7012">
        <w:rPr>
          <w:rFonts w:ascii="Arial" w:hAnsi="Arial" w:cs="Arial"/>
          <w:bCs/>
          <w:szCs w:val="24"/>
        </w:rPr>
        <w:t>0</w:t>
      </w:r>
      <w:r w:rsidRPr="003B7012">
        <w:rPr>
          <w:rFonts w:ascii="Arial" w:hAnsi="Arial" w:cs="Arial"/>
          <w:bCs/>
          <w:szCs w:val="24"/>
        </w:rPr>
        <w:t xml:space="preserve"> – OPPOSE</w:t>
      </w:r>
    </w:p>
    <w:p w14:paraId="4CFDF6B8" w14:textId="2CD05576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bCs/>
          <w:szCs w:val="24"/>
        </w:rPr>
      </w:pPr>
      <w:r w:rsidRPr="003B7012">
        <w:rPr>
          <w:rFonts w:ascii="Arial" w:hAnsi="Arial" w:cs="Arial"/>
          <w:bCs/>
          <w:szCs w:val="24"/>
        </w:rPr>
        <w:tab/>
        <w:t xml:space="preserve">As Amended </w:t>
      </w:r>
      <w:r w:rsidR="0003278A" w:rsidRPr="003B7012">
        <w:rPr>
          <w:rFonts w:ascii="Arial" w:hAnsi="Arial" w:cs="Arial"/>
          <w:bCs/>
          <w:szCs w:val="24"/>
        </w:rPr>
        <w:t>March 17, 2025</w:t>
      </w:r>
      <w:r w:rsidRPr="003B7012">
        <w:rPr>
          <w:rFonts w:ascii="Arial" w:hAnsi="Arial" w:cs="Arial"/>
          <w:bCs/>
          <w:szCs w:val="24"/>
        </w:rPr>
        <w:tab/>
      </w:r>
    </w:p>
    <w:p w14:paraId="45EEBE52" w14:textId="77777777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b/>
          <w:szCs w:val="24"/>
        </w:rPr>
      </w:pPr>
      <w:r w:rsidRPr="003B7012">
        <w:rPr>
          <w:rFonts w:ascii="Arial" w:hAnsi="Arial" w:cs="Arial"/>
          <w:b/>
          <w:szCs w:val="24"/>
        </w:rPr>
        <w:tab/>
      </w:r>
    </w:p>
    <w:p w14:paraId="73082295" w14:textId="77777777" w:rsidR="00601A8D" w:rsidRPr="003B7012" w:rsidRDefault="00601A8D" w:rsidP="00601A8D">
      <w:pPr>
        <w:tabs>
          <w:tab w:val="left" w:pos="90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 xml:space="preserve">Dear Assembly Member McKinnor: </w:t>
      </w:r>
    </w:p>
    <w:p w14:paraId="1A23A352" w14:textId="77777777" w:rsidR="00601A8D" w:rsidRPr="003B7012" w:rsidRDefault="00601A8D" w:rsidP="00601A8D">
      <w:pPr>
        <w:tabs>
          <w:tab w:val="left" w:pos="900"/>
        </w:tabs>
        <w:jc w:val="both"/>
        <w:rPr>
          <w:rFonts w:ascii="Arial" w:hAnsi="Arial" w:cs="Arial"/>
          <w:szCs w:val="24"/>
        </w:rPr>
      </w:pPr>
    </w:p>
    <w:p w14:paraId="643D378F" w14:textId="6CC0A7E3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 xml:space="preserve">On behalf of </w:t>
      </w:r>
      <w:r w:rsidRPr="003B7012">
        <w:rPr>
          <w:rFonts w:ascii="Arial" w:hAnsi="Arial" w:cs="Arial"/>
          <w:szCs w:val="24"/>
          <w:highlight w:val="yellow"/>
        </w:rPr>
        <w:t>[</w:t>
      </w:r>
      <w:r w:rsidR="003B7012">
        <w:rPr>
          <w:rFonts w:ascii="Arial" w:hAnsi="Arial" w:cs="Arial"/>
          <w:szCs w:val="24"/>
          <w:highlight w:val="yellow"/>
        </w:rPr>
        <w:t>county/organization</w:t>
      </w:r>
      <w:r w:rsidRPr="003B7012">
        <w:rPr>
          <w:rFonts w:ascii="Arial" w:hAnsi="Arial" w:cs="Arial"/>
          <w:szCs w:val="24"/>
          <w:highlight w:val="yellow"/>
        </w:rPr>
        <w:t>]</w:t>
      </w:r>
      <w:r w:rsidRPr="003B7012">
        <w:rPr>
          <w:rFonts w:ascii="Arial" w:hAnsi="Arial" w:cs="Arial"/>
          <w:szCs w:val="24"/>
        </w:rPr>
        <w:t xml:space="preserve">, we regretfully oppose your Assembly Bill </w:t>
      </w:r>
      <w:r w:rsidR="0003278A" w:rsidRPr="003B7012">
        <w:rPr>
          <w:rFonts w:ascii="Arial" w:hAnsi="Arial" w:cs="Arial"/>
          <w:szCs w:val="24"/>
        </w:rPr>
        <w:t>470</w:t>
      </w:r>
      <w:r w:rsidRPr="003B7012">
        <w:rPr>
          <w:rFonts w:ascii="Arial" w:hAnsi="Arial" w:cs="Arial"/>
          <w:szCs w:val="24"/>
        </w:rPr>
        <w:t xml:space="preserve">, which would allow a Carrier of Last Resort </w:t>
      </w:r>
      <w:r w:rsidR="005D5ED1" w:rsidRPr="003B7012">
        <w:rPr>
          <w:rFonts w:ascii="Arial" w:hAnsi="Arial" w:cs="Arial"/>
          <w:szCs w:val="24"/>
        </w:rPr>
        <w:t xml:space="preserve">(COLR) </w:t>
      </w:r>
      <w:r w:rsidRPr="003B7012">
        <w:rPr>
          <w:rFonts w:ascii="Arial" w:hAnsi="Arial" w:cs="Arial"/>
          <w:szCs w:val="24"/>
        </w:rPr>
        <w:t xml:space="preserve">provider to abandon </w:t>
      </w:r>
      <w:r w:rsidR="00141CEE" w:rsidRPr="003B7012">
        <w:rPr>
          <w:rFonts w:ascii="Arial" w:hAnsi="Arial" w:cs="Arial"/>
          <w:szCs w:val="24"/>
        </w:rPr>
        <w:t>essential</w:t>
      </w:r>
      <w:r w:rsidRPr="003B7012">
        <w:rPr>
          <w:rFonts w:ascii="Arial" w:hAnsi="Arial" w:cs="Arial"/>
          <w:szCs w:val="24"/>
        </w:rPr>
        <w:t xml:space="preserve"> responsibilities and </w:t>
      </w:r>
      <w:r w:rsidR="000F0A0A" w:rsidRPr="003B7012">
        <w:rPr>
          <w:rFonts w:ascii="Arial" w:hAnsi="Arial" w:cs="Arial"/>
          <w:szCs w:val="24"/>
        </w:rPr>
        <w:t>phase out</w:t>
      </w:r>
      <w:r w:rsidRPr="003B7012">
        <w:rPr>
          <w:rFonts w:ascii="Arial" w:hAnsi="Arial" w:cs="Arial"/>
          <w:szCs w:val="24"/>
        </w:rPr>
        <w:t xml:space="preserve"> reliable and affordable access to basic telephone service</w:t>
      </w:r>
      <w:r w:rsidR="00B06B6C" w:rsidRPr="003B7012">
        <w:rPr>
          <w:rFonts w:ascii="Arial" w:hAnsi="Arial" w:cs="Arial"/>
          <w:szCs w:val="24"/>
        </w:rPr>
        <w:t xml:space="preserve"> for all Californians</w:t>
      </w:r>
      <w:r w:rsidRPr="003B7012">
        <w:rPr>
          <w:rFonts w:ascii="Arial" w:hAnsi="Arial" w:cs="Arial"/>
          <w:szCs w:val="24"/>
        </w:rPr>
        <w:t>.</w:t>
      </w:r>
    </w:p>
    <w:p w14:paraId="1B8960B0" w14:textId="77777777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color w:val="FF0000"/>
          <w:szCs w:val="24"/>
        </w:rPr>
      </w:pPr>
    </w:p>
    <w:p w14:paraId="09ED4EED" w14:textId="6195F203" w:rsidR="00451C14" w:rsidRPr="003B7012" w:rsidRDefault="00B06B6C" w:rsidP="005D5ED1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>AB 470 automatically</w:t>
      </w:r>
      <w:r w:rsidR="005D5ED1" w:rsidRPr="003B7012">
        <w:rPr>
          <w:rFonts w:ascii="Arial" w:hAnsi="Arial" w:cs="Arial"/>
          <w:szCs w:val="24"/>
        </w:rPr>
        <w:t xml:space="preserve"> </w:t>
      </w:r>
      <w:r w:rsidR="00451C14" w:rsidRPr="003B7012">
        <w:rPr>
          <w:rFonts w:ascii="Arial" w:hAnsi="Arial" w:cs="Arial"/>
          <w:szCs w:val="24"/>
        </w:rPr>
        <w:t xml:space="preserve">relieves any </w:t>
      </w:r>
      <w:r w:rsidR="0022349F" w:rsidRPr="003B7012">
        <w:rPr>
          <w:rFonts w:ascii="Arial" w:hAnsi="Arial" w:cs="Arial"/>
          <w:szCs w:val="24"/>
        </w:rPr>
        <w:t xml:space="preserve">provider of its COLR obligations </w:t>
      </w:r>
      <w:r w:rsidR="00F37493" w:rsidRPr="003B7012">
        <w:rPr>
          <w:rFonts w:ascii="Arial" w:hAnsi="Arial" w:cs="Arial"/>
          <w:szCs w:val="24"/>
        </w:rPr>
        <w:t>when it send</w:t>
      </w:r>
      <w:r w:rsidR="00C44CAF" w:rsidRPr="003B7012">
        <w:rPr>
          <w:rFonts w:ascii="Arial" w:hAnsi="Arial" w:cs="Arial"/>
          <w:szCs w:val="24"/>
        </w:rPr>
        <w:t>s</w:t>
      </w:r>
      <w:r w:rsidR="00F37493" w:rsidRPr="003B7012">
        <w:rPr>
          <w:rFonts w:ascii="Arial" w:hAnsi="Arial" w:cs="Arial"/>
          <w:szCs w:val="24"/>
        </w:rPr>
        <w:t xml:space="preserve"> a notice to the California Public Utilities Commission (CPUC) </w:t>
      </w:r>
      <w:r w:rsidR="00F01FB1" w:rsidRPr="003B7012">
        <w:rPr>
          <w:rFonts w:ascii="Arial" w:hAnsi="Arial" w:cs="Arial"/>
          <w:szCs w:val="24"/>
        </w:rPr>
        <w:t>when it self-determines that it currently has no customers o</w:t>
      </w:r>
      <w:r w:rsidR="00845D62" w:rsidRPr="003B7012">
        <w:rPr>
          <w:rFonts w:ascii="Arial" w:hAnsi="Arial" w:cs="Arial"/>
          <w:szCs w:val="24"/>
        </w:rPr>
        <w:t xml:space="preserve">r population in a particular area, and it is </w:t>
      </w:r>
      <w:r w:rsidR="0091515D" w:rsidRPr="003B7012">
        <w:rPr>
          <w:rFonts w:ascii="Arial" w:hAnsi="Arial" w:cs="Arial"/>
          <w:szCs w:val="24"/>
        </w:rPr>
        <w:t>“</w:t>
      </w:r>
      <w:r w:rsidR="00845D62" w:rsidRPr="003B7012">
        <w:rPr>
          <w:rFonts w:ascii="Arial" w:hAnsi="Arial" w:cs="Arial"/>
          <w:szCs w:val="24"/>
        </w:rPr>
        <w:t>well-served</w:t>
      </w:r>
      <w:r w:rsidR="0091515D" w:rsidRPr="003B7012">
        <w:rPr>
          <w:rFonts w:ascii="Arial" w:hAnsi="Arial" w:cs="Arial"/>
          <w:szCs w:val="24"/>
        </w:rPr>
        <w:t>”</w:t>
      </w:r>
      <w:r w:rsidR="00845D62" w:rsidRPr="003B7012">
        <w:rPr>
          <w:rFonts w:ascii="Arial" w:hAnsi="Arial" w:cs="Arial"/>
          <w:szCs w:val="24"/>
        </w:rPr>
        <w:t xml:space="preserve"> by alternative voice services.</w:t>
      </w:r>
      <w:r w:rsidR="007F0F1C" w:rsidRPr="003B7012">
        <w:rPr>
          <w:rFonts w:ascii="Arial" w:hAnsi="Arial" w:cs="Arial"/>
          <w:szCs w:val="24"/>
        </w:rPr>
        <w:t xml:space="preserve"> This bill establishes a process wholly outside of any oversight </w:t>
      </w:r>
      <w:r w:rsidR="00986E97" w:rsidRPr="003B7012">
        <w:rPr>
          <w:rFonts w:ascii="Arial" w:hAnsi="Arial" w:cs="Arial"/>
          <w:szCs w:val="24"/>
        </w:rPr>
        <w:t xml:space="preserve">framework, gifting for-profit monopolies </w:t>
      </w:r>
      <w:r w:rsidR="00DB13D9" w:rsidRPr="003B7012">
        <w:rPr>
          <w:rFonts w:ascii="Arial" w:hAnsi="Arial" w:cs="Arial"/>
          <w:szCs w:val="24"/>
        </w:rPr>
        <w:t xml:space="preserve">with financial incentives to make self-interested findings and </w:t>
      </w:r>
      <w:r w:rsidR="00D52002" w:rsidRPr="003B7012">
        <w:rPr>
          <w:rFonts w:ascii="Arial" w:hAnsi="Arial" w:cs="Arial"/>
          <w:szCs w:val="24"/>
        </w:rPr>
        <w:t xml:space="preserve">be </w:t>
      </w:r>
      <w:r w:rsidR="00DB13D9" w:rsidRPr="003B7012">
        <w:rPr>
          <w:rFonts w:ascii="Arial" w:hAnsi="Arial" w:cs="Arial"/>
          <w:szCs w:val="24"/>
        </w:rPr>
        <w:t>the sole arbiters to the truth and accuracy of that information.</w:t>
      </w:r>
    </w:p>
    <w:p w14:paraId="55C6A780" w14:textId="77777777" w:rsidR="007725F5" w:rsidRPr="003B7012" w:rsidRDefault="007725F5" w:rsidP="005D5ED1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561C1524" w14:textId="56B4EB74" w:rsidR="007725F5" w:rsidRPr="003B7012" w:rsidRDefault="007725F5" w:rsidP="005D5ED1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 xml:space="preserve">Moreover, the customer challenge process outlined in AB 470 is also outside of any </w:t>
      </w:r>
      <w:r w:rsidR="00184A93" w:rsidRPr="003B7012">
        <w:rPr>
          <w:rFonts w:ascii="Arial" w:hAnsi="Arial" w:cs="Arial"/>
          <w:szCs w:val="24"/>
        </w:rPr>
        <w:t>neutral venue</w:t>
      </w:r>
      <w:r w:rsidR="00E478B6" w:rsidRPr="003B7012">
        <w:rPr>
          <w:rFonts w:ascii="Arial" w:hAnsi="Arial" w:cs="Arial"/>
          <w:szCs w:val="24"/>
        </w:rPr>
        <w:t>, like the CPUC</w:t>
      </w:r>
      <w:r w:rsidR="00184A93" w:rsidRPr="003B7012">
        <w:rPr>
          <w:rFonts w:ascii="Arial" w:hAnsi="Arial" w:cs="Arial"/>
          <w:szCs w:val="24"/>
        </w:rPr>
        <w:t>. Given the COLR</w:t>
      </w:r>
      <w:r w:rsidR="00CD783C" w:rsidRPr="003B7012">
        <w:rPr>
          <w:rFonts w:ascii="Arial" w:hAnsi="Arial" w:cs="Arial"/>
          <w:szCs w:val="24"/>
        </w:rPr>
        <w:t xml:space="preserve">’s notice to the CPUC is automatically deemed approved, any successful customer challenge is a farce. </w:t>
      </w:r>
      <w:r w:rsidR="00264608" w:rsidRPr="003B7012">
        <w:rPr>
          <w:rFonts w:ascii="Arial" w:hAnsi="Arial" w:cs="Arial"/>
          <w:szCs w:val="24"/>
        </w:rPr>
        <w:t>AB 470 limit</w:t>
      </w:r>
      <w:r w:rsidR="006D0051" w:rsidRPr="003B7012">
        <w:rPr>
          <w:rFonts w:ascii="Arial" w:hAnsi="Arial" w:cs="Arial"/>
          <w:szCs w:val="24"/>
        </w:rPr>
        <w:t>s</w:t>
      </w:r>
      <w:r w:rsidR="00264608" w:rsidRPr="003B7012">
        <w:rPr>
          <w:rFonts w:ascii="Arial" w:hAnsi="Arial" w:cs="Arial"/>
          <w:szCs w:val="24"/>
        </w:rPr>
        <w:t xml:space="preserve"> </w:t>
      </w:r>
      <w:r w:rsidR="00264608" w:rsidRPr="003B7012">
        <w:rPr>
          <w:rFonts w:ascii="Arial" w:hAnsi="Arial" w:cs="Arial"/>
          <w:i/>
          <w:iCs/>
          <w:szCs w:val="24"/>
        </w:rPr>
        <w:t>successful</w:t>
      </w:r>
      <w:r w:rsidR="00264608" w:rsidRPr="003B7012">
        <w:rPr>
          <w:rFonts w:ascii="Arial" w:hAnsi="Arial" w:cs="Arial"/>
          <w:szCs w:val="24"/>
        </w:rPr>
        <w:t xml:space="preserve"> customer challenges to two years of </w:t>
      </w:r>
      <w:r w:rsidR="00857BCD" w:rsidRPr="003B7012">
        <w:rPr>
          <w:rFonts w:ascii="Arial" w:hAnsi="Arial" w:cs="Arial"/>
          <w:szCs w:val="24"/>
        </w:rPr>
        <w:t xml:space="preserve">continued </w:t>
      </w:r>
      <w:r w:rsidR="00264608" w:rsidRPr="003B7012">
        <w:rPr>
          <w:rFonts w:ascii="Arial" w:hAnsi="Arial" w:cs="Arial"/>
          <w:szCs w:val="24"/>
        </w:rPr>
        <w:t>service</w:t>
      </w:r>
      <w:r w:rsidR="006D0051" w:rsidRPr="003B7012">
        <w:rPr>
          <w:rFonts w:ascii="Arial" w:hAnsi="Arial" w:cs="Arial"/>
          <w:szCs w:val="24"/>
        </w:rPr>
        <w:t>, and makes no guarantees that any service be available</w:t>
      </w:r>
      <w:r w:rsidR="00D44825" w:rsidRPr="003B7012">
        <w:rPr>
          <w:rFonts w:ascii="Arial" w:hAnsi="Arial" w:cs="Arial"/>
          <w:szCs w:val="24"/>
        </w:rPr>
        <w:t xml:space="preserve"> to the customer following that </w:t>
      </w:r>
      <w:r w:rsidR="00B32156" w:rsidRPr="003B7012">
        <w:rPr>
          <w:rFonts w:ascii="Arial" w:hAnsi="Arial" w:cs="Arial"/>
          <w:szCs w:val="24"/>
        </w:rPr>
        <w:t xml:space="preserve">time </w:t>
      </w:r>
      <w:r w:rsidR="00A80841" w:rsidRPr="003B7012">
        <w:rPr>
          <w:rFonts w:ascii="Arial" w:hAnsi="Arial" w:cs="Arial"/>
          <w:szCs w:val="24"/>
        </w:rPr>
        <w:t>period</w:t>
      </w:r>
      <w:r w:rsidR="00B32156" w:rsidRPr="003B7012">
        <w:rPr>
          <w:rFonts w:ascii="Arial" w:hAnsi="Arial" w:cs="Arial"/>
          <w:szCs w:val="24"/>
        </w:rPr>
        <w:t xml:space="preserve"> given the </w:t>
      </w:r>
      <w:r w:rsidR="00AA6714" w:rsidRPr="003B7012">
        <w:rPr>
          <w:rFonts w:ascii="Arial" w:hAnsi="Arial" w:cs="Arial"/>
          <w:szCs w:val="24"/>
        </w:rPr>
        <w:t>lack of COLR protections</w:t>
      </w:r>
      <w:r w:rsidR="00A80841" w:rsidRPr="003B7012">
        <w:rPr>
          <w:rFonts w:ascii="Arial" w:hAnsi="Arial" w:cs="Arial"/>
          <w:szCs w:val="24"/>
        </w:rPr>
        <w:t>.</w:t>
      </w:r>
    </w:p>
    <w:p w14:paraId="724D363D" w14:textId="77777777" w:rsidR="00DC3A66" w:rsidRPr="003B7012" w:rsidRDefault="00DC3A66" w:rsidP="005D5ED1">
      <w:pPr>
        <w:tabs>
          <w:tab w:val="left" w:pos="720"/>
        </w:tabs>
        <w:jc w:val="both"/>
        <w:rPr>
          <w:rFonts w:ascii="Arial" w:hAnsi="Arial" w:cs="Arial"/>
          <w:color w:val="FF0000"/>
          <w:szCs w:val="24"/>
        </w:rPr>
      </w:pPr>
    </w:p>
    <w:p w14:paraId="05DE0081" w14:textId="664D5326" w:rsidR="00601A8D" w:rsidRPr="003B7012" w:rsidRDefault="005D5ED1" w:rsidP="14316192">
      <w:pPr>
        <w:tabs>
          <w:tab w:val="left" w:pos="720"/>
        </w:tabs>
        <w:jc w:val="both"/>
        <w:rPr>
          <w:rFonts w:ascii="Arial" w:hAnsi="Arial" w:cs="Arial"/>
          <w:color w:val="FF0000"/>
        </w:rPr>
      </w:pPr>
      <w:r w:rsidRPr="14316192">
        <w:rPr>
          <w:rFonts w:ascii="Arial" w:hAnsi="Arial" w:cs="Arial"/>
        </w:rPr>
        <w:t>The CPUC’s core function is to balance procedures and safeguards to protect consumers as well as ensure the provision of safe, reliable utilit</w:t>
      </w:r>
      <w:r w:rsidR="7B68280B" w:rsidRPr="14316192">
        <w:rPr>
          <w:rFonts w:ascii="Arial" w:hAnsi="Arial" w:cs="Arial"/>
        </w:rPr>
        <w:t>ies</w:t>
      </w:r>
      <w:r w:rsidRPr="14316192">
        <w:rPr>
          <w:rFonts w:ascii="Arial" w:hAnsi="Arial" w:cs="Arial"/>
        </w:rPr>
        <w:t xml:space="preserve"> and infrastructure at reasonable rates.</w:t>
      </w:r>
      <w:r w:rsidR="00A80841" w:rsidRPr="14316192">
        <w:rPr>
          <w:rFonts w:ascii="Arial" w:hAnsi="Arial" w:cs="Arial"/>
        </w:rPr>
        <w:t xml:space="preserve"> AB 470 puts the industry’s interests ahead of the need</w:t>
      </w:r>
      <w:r w:rsidR="00AA59FD" w:rsidRPr="14316192">
        <w:rPr>
          <w:rFonts w:ascii="Arial" w:hAnsi="Arial" w:cs="Arial"/>
        </w:rPr>
        <w:t>s of a diverse state.</w:t>
      </w:r>
      <w:r w:rsidR="00425A81" w:rsidRPr="14316192">
        <w:rPr>
          <w:rFonts w:ascii="Arial" w:hAnsi="Arial" w:cs="Arial"/>
        </w:rPr>
        <w:t xml:space="preserve"> COLR rules remain essential </w:t>
      </w:r>
      <w:r w:rsidR="008362FD" w:rsidRPr="14316192">
        <w:rPr>
          <w:rFonts w:ascii="Arial" w:hAnsi="Arial" w:cs="Arial"/>
        </w:rPr>
        <w:t>and must continue t</w:t>
      </w:r>
      <w:r w:rsidR="007A42E1" w:rsidRPr="14316192">
        <w:rPr>
          <w:rFonts w:ascii="Arial" w:hAnsi="Arial" w:cs="Arial"/>
        </w:rPr>
        <w:t>o</w:t>
      </w:r>
      <w:r w:rsidR="00425A81" w:rsidRPr="14316192">
        <w:rPr>
          <w:rFonts w:ascii="Arial" w:hAnsi="Arial" w:cs="Arial"/>
        </w:rPr>
        <w:t xml:space="preserve"> prioritize consumer protections and universal access while facilitating the transition to modern networks.</w:t>
      </w:r>
      <w:r w:rsidR="00AA59FD" w:rsidRPr="14316192">
        <w:rPr>
          <w:rFonts w:ascii="Arial" w:hAnsi="Arial" w:cs="Arial"/>
        </w:rPr>
        <w:t xml:space="preserve"> </w:t>
      </w:r>
      <w:r w:rsidRPr="14316192">
        <w:rPr>
          <w:rFonts w:ascii="Arial" w:hAnsi="Arial" w:cs="Arial"/>
        </w:rPr>
        <w:t xml:space="preserve"> </w:t>
      </w:r>
    </w:p>
    <w:p w14:paraId="028221F4" w14:textId="77777777" w:rsidR="00AA59FD" w:rsidRPr="003B7012" w:rsidRDefault="00AA59FD" w:rsidP="00601A8D">
      <w:pPr>
        <w:tabs>
          <w:tab w:val="left" w:pos="720"/>
        </w:tabs>
        <w:jc w:val="both"/>
        <w:rPr>
          <w:rFonts w:ascii="Arial" w:hAnsi="Arial" w:cs="Arial"/>
          <w:color w:val="FF0000"/>
          <w:szCs w:val="24"/>
        </w:rPr>
      </w:pPr>
    </w:p>
    <w:p w14:paraId="4DC118AF" w14:textId="51B0DA0F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 xml:space="preserve">We support the evolution to more advanced technologies that provide reliability, redundancy and ubiquitous access to connectivity, for both internet and voice service. However, AB </w:t>
      </w:r>
      <w:r w:rsidR="00AA59FD" w:rsidRPr="003B7012">
        <w:rPr>
          <w:rFonts w:ascii="Arial" w:hAnsi="Arial" w:cs="Arial"/>
          <w:szCs w:val="24"/>
        </w:rPr>
        <w:t>470</w:t>
      </w:r>
      <w:r w:rsidRPr="003B7012">
        <w:rPr>
          <w:rFonts w:ascii="Arial" w:hAnsi="Arial" w:cs="Arial"/>
          <w:szCs w:val="24"/>
        </w:rPr>
        <w:t xml:space="preserve"> does not provide a </w:t>
      </w:r>
      <w:r w:rsidR="00AA59FD" w:rsidRPr="003B7012">
        <w:rPr>
          <w:rFonts w:ascii="Arial" w:hAnsi="Arial" w:cs="Arial"/>
          <w:szCs w:val="24"/>
        </w:rPr>
        <w:t xml:space="preserve">true </w:t>
      </w:r>
      <w:r w:rsidRPr="003B7012">
        <w:rPr>
          <w:rFonts w:ascii="Arial" w:hAnsi="Arial" w:cs="Arial"/>
          <w:szCs w:val="24"/>
        </w:rPr>
        <w:t xml:space="preserve">transition process for communities to receive these modern </w:t>
      </w:r>
      <w:r w:rsidR="00B828CE" w:rsidRPr="003B7012">
        <w:rPr>
          <w:rFonts w:ascii="Arial" w:hAnsi="Arial" w:cs="Arial"/>
          <w:szCs w:val="24"/>
        </w:rPr>
        <w:t>telecommunications offerings and</w:t>
      </w:r>
      <w:r w:rsidRPr="003B7012">
        <w:rPr>
          <w:rFonts w:ascii="Arial" w:hAnsi="Arial" w:cs="Arial"/>
          <w:szCs w:val="24"/>
        </w:rPr>
        <w:t xml:space="preserve"> instead is a process for companies to </w:t>
      </w:r>
      <w:r w:rsidR="00061588" w:rsidRPr="003B7012">
        <w:rPr>
          <w:rFonts w:ascii="Arial" w:hAnsi="Arial" w:cs="Arial"/>
          <w:szCs w:val="24"/>
        </w:rPr>
        <w:t>phase out</w:t>
      </w:r>
      <w:r w:rsidRPr="003B7012">
        <w:rPr>
          <w:rFonts w:ascii="Arial" w:hAnsi="Arial" w:cs="Arial"/>
          <w:szCs w:val="24"/>
        </w:rPr>
        <w:t xml:space="preserve"> essential services at the cost of public safety and consumer safeguards. </w:t>
      </w:r>
    </w:p>
    <w:p w14:paraId="35FEBD04" w14:textId="77777777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ab/>
      </w:r>
    </w:p>
    <w:p w14:paraId="08A603F2" w14:textId="7D27615B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 xml:space="preserve">For these reasons, we oppose AB </w:t>
      </w:r>
      <w:r w:rsidR="0003278A" w:rsidRPr="003B7012">
        <w:rPr>
          <w:rFonts w:ascii="Arial" w:hAnsi="Arial" w:cs="Arial"/>
          <w:szCs w:val="24"/>
        </w:rPr>
        <w:t>470</w:t>
      </w:r>
      <w:r w:rsidRPr="003B7012">
        <w:rPr>
          <w:rFonts w:ascii="Arial" w:hAnsi="Arial" w:cs="Arial"/>
          <w:szCs w:val="24"/>
        </w:rPr>
        <w:t xml:space="preserve">. </w:t>
      </w:r>
    </w:p>
    <w:p w14:paraId="63F204F2" w14:textId="77777777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6D758F2A" w14:textId="71D12A3E" w:rsidR="00601A8D" w:rsidRPr="003B7012" w:rsidRDefault="00601A8D" w:rsidP="00303A6B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>Sincerely,</w:t>
      </w:r>
    </w:p>
    <w:p w14:paraId="421F13DF" w14:textId="77777777" w:rsidR="00601A8D" w:rsidRPr="003B7012" w:rsidRDefault="00601A8D" w:rsidP="00601A8D">
      <w:pPr>
        <w:tabs>
          <w:tab w:val="left" w:pos="720"/>
        </w:tabs>
        <w:ind w:firstLine="3960"/>
        <w:jc w:val="both"/>
        <w:rPr>
          <w:rFonts w:ascii="Arial" w:hAnsi="Arial" w:cs="Arial"/>
          <w:szCs w:val="24"/>
        </w:rPr>
      </w:pPr>
    </w:p>
    <w:p w14:paraId="31B6C587" w14:textId="77777777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60C16A02" w14:textId="4878046E" w:rsidR="00303A6B" w:rsidRPr="003B7012" w:rsidRDefault="00332930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  <w:highlight w:val="yellow"/>
        </w:rPr>
        <w:t>[Name]</w:t>
      </w:r>
    </w:p>
    <w:p w14:paraId="4A088D05" w14:textId="384E4B0E" w:rsidR="00332930" w:rsidRPr="003B7012" w:rsidRDefault="00332930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  <w:highlight w:val="yellow"/>
        </w:rPr>
        <w:t>[Title]</w:t>
      </w:r>
    </w:p>
    <w:p w14:paraId="3D692EB0" w14:textId="77777777" w:rsidR="00303A6B" w:rsidRPr="003B7012" w:rsidRDefault="00303A6B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7CA7A8BC" w14:textId="77777777" w:rsidR="00303A6B" w:rsidRPr="003B7012" w:rsidRDefault="00303A6B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1544D8DE" w14:textId="77777777" w:rsidR="00303A6B" w:rsidRPr="003B7012" w:rsidRDefault="00303A6B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00393DD7" w14:textId="77777777" w:rsidR="00303A6B" w:rsidRPr="003B7012" w:rsidRDefault="00303A6B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023BE7AE" w14:textId="1253B412" w:rsidR="00601A8D" w:rsidRPr="003B7012" w:rsidRDefault="00601A8D" w:rsidP="004B116A">
      <w:pPr>
        <w:tabs>
          <w:tab w:val="left" w:pos="720"/>
        </w:tabs>
        <w:ind w:left="720" w:hanging="720"/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 xml:space="preserve">cc:  </w:t>
      </w:r>
      <w:r w:rsidRPr="003B7012">
        <w:rPr>
          <w:rFonts w:ascii="Arial" w:hAnsi="Arial" w:cs="Arial"/>
          <w:szCs w:val="24"/>
        </w:rPr>
        <w:tab/>
        <w:t xml:space="preserve">Members of the </w:t>
      </w:r>
      <w:r w:rsidR="00E3534E" w:rsidRPr="003B7012">
        <w:rPr>
          <w:rFonts w:ascii="Arial" w:hAnsi="Arial" w:cs="Arial"/>
          <w:szCs w:val="24"/>
        </w:rPr>
        <w:t>Assembly Communications and Conveyance</w:t>
      </w:r>
      <w:r w:rsidRPr="003B7012">
        <w:rPr>
          <w:rFonts w:ascii="Arial" w:hAnsi="Arial" w:cs="Arial"/>
          <w:szCs w:val="24"/>
        </w:rPr>
        <w:t xml:space="preserve"> Committee</w:t>
      </w:r>
    </w:p>
    <w:p w14:paraId="0ADE9984" w14:textId="5655561F" w:rsidR="00601A8D" w:rsidRPr="003B7012" w:rsidRDefault="00601A8D" w:rsidP="004B116A">
      <w:pPr>
        <w:tabs>
          <w:tab w:val="left" w:pos="720"/>
        </w:tabs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ab/>
      </w:r>
      <w:r w:rsidR="004B116A" w:rsidRPr="003B7012">
        <w:rPr>
          <w:rFonts w:ascii="Arial" w:hAnsi="Arial" w:cs="Arial"/>
          <w:szCs w:val="24"/>
          <w:highlight w:val="yellow"/>
        </w:rPr>
        <w:t xml:space="preserve">[Insert Your State </w:t>
      </w:r>
      <w:r w:rsidR="0003278A" w:rsidRPr="003B7012">
        <w:rPr>
          <w:rFonts w:ascii="Arial" w:hAnsi="Arial" w:cs="Arial"/>
          <w:szCs w:val="24"/>
          <w:highlight w:val="yellow"/>
        </w:rPr>
        <w:t>Assemblymember</w:t>
      </w:r>
      <w:r w:rsidR="004B116A" w:rsidRPr="003B7012">
        <w:rPr>
          <w:rFonts w:ascii="Arial" w:hAnsi="Arial" w:cs="Arial"/>
          <w:szCs w:val="24"/>
          <w:highlight w:val="yellow"/>
        </w:rPr>
        <w:t>]</w:t>
      </w:r>
    </w:p>
    <w:p w14:paraId="67FB0E50" w14:textId="462EAFCD" w:rsidR="00332930" w:rsidRPr="003B7012" w:rsidRDefault="00332930" w:rsidP="004B116A">
      <w:pPr>
        <w:tabs>
          <w:tab w:val="left" w:pos="720"/>
        </w:tabs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ab/>
        <w:t>Tracy Rhine, Senior Policy Advocate, Rural County Representatives of California</w:t>
      </w:r>
    </w:p>
    <w:p w14:paraId="5F08B851" w14:textId="3EB1FE1F" w:rsidR="00601A8D" w:rsidRPr="003B7012" w:rsidRDefault="00601A8D" w:rsidP="00601A8D">
      <w:pPr>
        <w:tabs>
          <w:tab w:val="left" w:pos="720"/>
        </w:tabs>
        <w:rPr>
          <w:rFonts w:ascii="Arial" w:hAnsi="Arial" w:cs="Arial"/>
          <w:szCs w:val="24"/>
        </w:rPr>
      </w:pPr>
      <w:r w:rsidRPr="003B7012">
        <w:rPr>
          <w:rFonts w:ascii="Arial" w:hAnsi="Arial" w:cs="Arial"/>
          <w:szCs w:val="24"/>
        </w:rPr>
        <w:tab/>
      </w:r>
    </w:p>
    <w:p w14:paraId="261F658F" w14:textId="77777777" w:rsidR="00601A8D" w:rsidRPr="003B7012" w:rsidRDefault="00601A8D" w:rsidP="00601A8D">
      <w:pPr>
        <w:tabs>
          <w:tab w:val="left" w:pos="720"/>
        </w:tabs>
        <w:rPr>
          <w:rFonts w:ascii="Arial" w:hAnsi="Arial" w:cs="Arial"/>
          <w:szCs w:val="24"/>
        </w:rPr>
      </w:pPr>
    </w:p>
    <w:p w14:paraId="4E828229" w14:textId="77777777" w:rsidR="00601A8D" w:rsidRPr="003B7012" w:rsidRDefault="00601A8D" w:rsidP="00601A8D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14:paraId="542D9C88" w14:textId="77777777" w:rsidR="00601A8D" w:rsidRPr="003B7012" w:rsidRDefault="00601A8D" w:rsidP="00601A8D">
      <w:pPr>
        <w:rPr>
          <w:rFonts w:ascii="Arial" w:hAnsi="Arial" w:cs="Arial"/>
          <w:szCs w:val="24"/>
        </w:rPr>
      </w:pPr>
    </w:p>
    <w:sectPr w:rsidR="00601A8D" w:rsidRPr="003B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F675" w14:textId="77777777" w:rsidR="005259C0" w:rsidRDefault="005259C0" w:rsidP="00601A8D">
      <w:pPr>
        <w:spacing w:line="240" w:lineRule="auto"/>
      </w:pPr>
      <w:r>
        <w:separator/>
      </w:r>
    </w:p>
  </w:endnote>
  <w:endnote w:type="continuationSeparator" w:id="0">
    <w:p w14:paraId="74EA3066" w14:textId="77777777" w:rsidR="005259C0" w:rsidRDefault="005259C0" w:rsidP="00601A8D">
      <w:pPr>
        <w:spacing w:line="240" w:lineRule="auto"/>
      </w:pPr>
      <w:r>
        <w:continuationSeparator/>
      </w:r>
    </w:p>
  </w:endnote>
  <w:endnote w:type="continuationNotice" w:id="1">
    <w:p w14:paraId="6F0F7F19" w14:textId="77777777" w:rsidR="000922DC" w:rsidRDefault="000922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BEE6" w14:textId="77777777" w:rsidR="005259C0" w:rsidRDefault="005259C0" w:rsidP="00601A8D">
      <w:pPr>
        <w:spacing w:line="240" w:lineRule="auto"/>
      </w:pPr>
      <w:r>
        <w:separator/>
      </w:r>
    </w:p>
  </w:footnote>
  <w:footnote w:type="continuationSeparator" w:id="0">
    <w:p w14:paraId="72FA63BD" w14:textId="77777777" w:rsidR="005259C0" w:rsidRDefault="005259C0" w:rsidP="00601A8D">
      <w:pPr>
        <w:spacing w:line="240" w:lineRule="auto"/>
      </w:pPr>
      <w:r>
        <w:continuationSeparator/>
      </w:r>
    </w:p>
  </w:footnote>
  <w:footnote w:type="continuationNotice" w:id="1">
    <w:p w14:paraId="48D54715" w14:textId="77777777" w:rsidR="000922DC" w:rsidRDefault="000922DC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8D"/>
    <w:rsid w:val="0003278A"/>
    <w:rsid w:val="00061588"/>
    <w:rsid w:val="000922DC"/>
    <w:rsid w:val="000F0A0A"/>
    <w:rsid w:val="00141CEE"/>
    <w:rsid w:val="00161C90"/>
    <w:rsid w:val="00184A93"/>
    <w:rsid w:val="0022349F"/>
    <w:rsid w:val="002540CD"/>
    <w:rsid w:val="00264608"/>
    <w:rsid w:val="002C7116"/>
    <w:rsid w:val="00303A6B"/>
    <w:rsid w:val="00332930"/>
    <w:rsid w:val="003B7012"/>
    <w:rsid w:val="00417CA1"/>
    <w:rsid w:val="00425A81"/>
    <w:rsid w:val="004512CA"/>
    <w:rsid w:val="00451C14"/>
    <w:rsid w:val="004B116A"/>
    <w:rsid w:val="005259C0"/>
    <w:rsid w:val="005D5ED1"/>
    <w:rsid w:val="00601A8D"/>
    <w:rsid w:val="006C0167"/>
    <w:rsid w:val="006D0051"/>
    <w:rsid w:val="006D571C"/>
    <w:rsid w:val="006F64A9"/>
    <w:rsid w:val="007725F5"/>
    <w:rsid w:val="007A42E1"/>
    <w:rsid w:val="007F0F1C"/>
    <w:rsid w:val="0082359F"/>
    <w:rsid w:val="008362FD"/>
    <w:rsid w:val="00845D62"/>
    <w:rsid w:val="00857BCD"/>
    <w:rsid w:val="008B7E45"/>
    <w:rsid w:val="0091515D"/>
    <w:rsid w:val="009727ED"/>
    <w:rsid w:val="00973C65"/>
    <w:rsid w:val="00986E97"/>
    <w:rsid w:val="009B4119"/>
    <w:rsid w:val="00A80841"/>
    <w:rsid w:val="00AA59FD"/>
    <w:rsid w:val="00AA6714"/>
    <w:rsid w:val="00B06B6C"/>
    <w:rsid w:val="00B32156"/>
    <w:rsid w:val="00B828CE"/>
    <w:rsid w:val="00BA4CA0"/>
    <w:rsid w:val="00BD46EB"/>
    <w:rsid w:val="00C44CAF"/>
    <w:rsid w:val="00CD783C"/>
    <w:rsid w:val="00D06DF1"/>
    <w:rsid w:val="00D44825"/>
    <w:rsid w:val="00D52002"/>
    <w:rsid w:val="00D53F19"/>
    <w:rsid w:val="00D90FFD"/>
    <w:rsid w:val="00DB13D9"/>
    <w:rsid w:val="00DC3A66"/>
    <w:rsid w:val="00E1224D"/>
    <w:rsid w:val="00E3534E"/>
    <w:rsid w:val="00E478B6"/>
    <w:rsid w:val="00E6708F"/>
    <w:rsid w:val="00ED70C2"/>
    <w:rsid w:val="00EE1C6F"/>
    <w:rsid w:val="00F01FB1"/>
    <w:rsid w:val="00F12CF4"/>
    <w:rsid w:val="00F37493"/>
    <w:rsid w:val="14316192"/>
    <w:rsid w:val="2266BB20"/>
    <w:rsid w:val="7B68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91F6"/>
  <w15:chartTrackingRefBased/>
  <w15:docId w15:val="{C34BE3FD-95EB-40C5-AFE7-67E0B4DC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A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A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A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A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A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A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A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A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A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A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A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A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A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A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A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A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01A8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A8D"/>
    <w:pPr>
      <w:spacing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A8D"/>
    <w:rPr>
      <w:rFonts w:ascii="Cambria" w:eastAsia="MS Mincho" w:hAnsi="Cambria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601A8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922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2DC"/>
  </w:style>
  <w:style w:type="paragraph" w:styleId="Footer">
    <w:name w:val="footer"/>
    <w:basedOn w:val="Normal"/>
    <w:link w:val="FooterChar"/>
    <w:uiPriority w:val="99"/>
    <w:semiHidden/>
    <w:unhideWhenUsed/>
    <w:rsid w:val="000922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4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Kammerich</dc:creator>
  <cp:keywords/>
  <dc:description/>
  <cp:lastModifiedBy>Leigh Kammerich</cp:lastModifiedBy>
  <cp:revision>5</cp:revision>
  <dcterms:created xsi:type="dcterms:W3CDTF">2025-03-18T18:16:00Z</dcterms:created>
  <dcterms:modified xsi:type="dcterms:W3CDTF">2025-03-18T19:14:00Z</dcterms:modified>
</cp:coreProperties>
</file>